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1F" w:rsidRPr="00480B9B" w:rsidRDefault="001F331F" w:rsidP="001F331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0B9B">
        <w:rPr>
          <w:rFonts w:ascii="Times New Roman" w:hAnsi="Times New Roman"/>
          <w:b/>
          <w:sz w:val="28"/>
          <w:szCs w:val="28"/>
        </w:rPr>
        <w:t>Прокурор разъясняет</w:t>
      </w:r>
    </w:p>
    <w:p w:rsidR="001F331F" w:rsidRPr="00480B9B" w:rsidRDefault="001F331F" w:rsidP="001F331F">
      <w:pPr>
        <w:pStyle w:val="a5"/>
        <w:ind w:firstLine="0"/>
        <w:rPr>
          <w:rFonts w:ascii="Times New Roman" w:hAnsi="Times New Roman"/>
          <w:bCs/>
          <w:sz w:val="28"/>
          <w:szCs w:val="28"/>
        </w:rPr>
      </w:pPr>
    </w:p>
    <w:p w:rsidR="00EF5719" w:rsidRPr="00EF5719" w:rsidRDefault="00EF5719" w:rsidP="00EF57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>Определены особенности режима рабочего времени и времени отдыха водителей служебных автомобилей</w:t>
      </w:r>
    </w:p>
    <w:p w:rsidR="00EF5719" w:rsidRDefault="00EF5719" w:rsidP="00EF5719">
      <w:pPr>
        <w:pStyle w:val="a5"/>
        <w:rPr>
          <w:rFonts w:ascii="Times New Roman" w:hAnsi="Times New Roman"/>
          <w:b/>
          <w:sz w:val="28"/>
          <w:szCs w:val="28"/>
        </w:rPr>
      </w:pP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19 ноября 2019 года вступает в силу приказ Министерства транспорта Российской Федерации от 07.08.2019 № 262 «О внесении изменений в Положение об особенностях режима рабочего времени и времени отдыха водителей автомобилей», утвержденное приказом Министерства транспорта Российской Федерации от 20.08.2004 № 15.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В соответствии с внесенными изменениями водителям, осуществляющим перевозки на служебных легковых автомобилях при обслуживании должностных лиц федеральных органов государственной власти или органов государственной власти субъектов Российской Федерации с персональным закреплением за этими лицами таких автомобилей с экипажем, с их согласия рабочий день (смена) может быть разделен на две и более частей.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В случае получения согласия водителя на разделение рабочего дня (смены), такое разделение производится работодателем на основании локального нормативного акта, принятого по согласованию с выборным органом первичной профсоюзной организации, а при ее отсутствии - с иным представительным органом работников.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Перерыв между двумя частями рабочего дня устанавливается не позже чем через пять часов после начала работы.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При разделении рабочего дня (смены) на две и более частей один из перерывов должен быть не менее двух часов, а суммарное время перерывов между частями рабочего дня (смены) не может превышать 5 часов.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Перерыв между частями смены предоставляется в местах, предусмотренных расписанием движения или графиком работы и обеспечивающих возможность использования водителем времени отдыха по своему усмотрению.</w:t>
      </w:r>
    </w:p>
    <w:p w:rsidR="00963CF7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При привлечении таких водителей в связи с производственной необходимостью к выполнению работ в период перерыва между частями рабочего дня с учетом максимальной продолжительности, данная работа (осуществляемая за пределами рабочего времени) является сверхурочной.</w:t>
      </w:r>
    </w:p>
    <w:p w:rsidR="00EF5719" w:rsidRDefault="00EF5719" w:rsidP="00EF571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>За счет средств Фонда защиты прав дольщиков может выплачиваться возмещение гражданам - членам кооператива, которому в рамках дела о банкротстве переданы права застройщика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15 ноября 2019 года вступил в силу Федеральный закон от 04.11.2019 № 359-ФЗ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lastRenderedPageBreak/>
        <w:t xml:space="preserve">В соответствии с изменениями за счет средств Фонда защиты прав дольщиков выплачивается возмещение гражданам, являющимся членами жилищно-строительного кооператива или иного специализированного потребительского кооператива. При это уточняется, что кооператив должен быть создан в соответствии со ст. 201.10 Федерального закона от 26.10.2002 № 127-ФЗ «О несостоятельности (банкротстве)» и которому были переданы права застройщика на объект незавершенного строительства и земельный участок,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строительства. Кроме того, указанные граждане имеют в отношении соответствующего кооператива требования о передаче жилого помещения, </w:t>
      </w:r>
      <w:proofErr w:type="spellStart"/>
      <w:r w:rsidRPr="00EF5719">
        <w:rPr>
          <w:rFonts w:ascii="Times New Roman" w:hAnsi="Times New Roman"/>
          <w:sz w:val="28"/>
          <w:szCs w:val="28"/>
        </w:rPr>
        <w:t>машино</w:t>
      </w:r>
      <w:proofErr w:type="spellEnd"/>
      <w:r w:rsidRPr="00EF5719">
        <w:rPr>
          <w:rFonts w:ascii="Times New Roman" w:hAnsi="Times New Roman"/>
          <w:sz w:val="28"/>
          <w:szCs w:val="28"/>
        </w:rPr>
        <w:t>-места и (или) нежилого помещения.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- членам кооператива.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Выплата возмещения гражданину - члену кооператива, имеющему требование о передаче жилого помещения (жилых помещений), осуществляется в размере, определенном законом, но в совокупности не менее размера требований гражданина - члена кооператива, погашенных в связи с передачей кооперативу прав застройщика в деле о банкротстве застройщика, и размера паевых взносов, внесенных указанным гражданином - членом кооператива после такой передачи.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Выплата возмещения по требованиям, предусматривающим передачу </w:t>
      </w:r>
      <w:proofErr w:type="spellStart"/>
      <w:r w:rsidRPr="00EF5719">
        <w:rPr>
          <w:rFonts w:ascii="Times New Roman" w:hAnsi="Times New Roman"/>
          <w:sz w:val="28"/>
          <w:szCs w:val="28"/>
        </w:rPr>
        <w:t>машино</w:t>
      </w:r>
      <w:proofErr w:type="spellEnd"/>
      <w:r w:rsidRPr="00EF5719">
        <w:rPr>
          <w:rFonts w:ascii="Times New Roman" w:hAnsi="Times New Roman"/>
          <w:sz w:val="28"/>
          <w:szCs w:val="28"/>
        </w:rPr>
        <w:t>-мест и нежилых помещений, осуществляется в размере цены, уплаченной гражданином - членом кооператива.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Со дня выплаты Фондом гражданину - члену кооператива возмещения в соответствии с настоящим Федеральным законом его членство в кооперативе считается прекращенным в связи с выходом такого гражданина из кооператива.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Предполагается, что данный механизм обеспечит членам ЖСК равную защиту прав с участниками долевого строительства, пострадавшими от деятельности недобросовестных застройщиков.</w:t>
      </w:r>
    </w:p>
    <w:p w:rsidR="002A3E37" w:rsidRDefault="002A3E37" w:rsidP="002A3E37">
      <w:pPr>
        <w:pStyle w:val="a5"/>
        <w:rPr>
          <w:rFonts w:ascii="Times New Roman" w:hAnsi="Times New Roman"/>
          <w:sz w:val="28"/>
          <w:szCs w:val="28"/>
        </w:rPr>
      </w:pPr>
    </w:p>
    <w:p w:rsidR="00EF5719" w:rsidRDefault="00EF5719" w:rsidP="002A3E37">
      <w:pPr>
        <w:pStyle w:val="a5"/>
        <w:rPr>
          <w:rFonts w:ascii="Times New Roman" w:hAnsi="Times New Roman"/>
          <w:sz w:val="28"/>
          <w:szCs w:val="28"/>
        </w:rPr>
      </w:pPr>
    </w:p>
    <w:p w:rsid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 xml:space="preserve">Конституционный Суд РФ признал не противоречащими </w:t>
      </w:r>
    </w:p>
    <w:p w:rsid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5719">
        <w:rPr>
          <w:rFonts w:ascii="Times New Roman" w:hAnsi="Times New Roman"/>
          <w:b/>
          <w:sz w:val="28"/>
          <w:szCs w:val="28"/>
        </w:rPr>
        <w:t>Конституции</w:t>
      </w:r>
      <w:proofErr w:type="gramEnd"/>
      <w:r w:rsidRPr="00EF5719">
        <w:rPr>
          <w:rFonts w:ascii="Times New Roman" w:hAnsi="Times New Roman"/>
          <w:b/>
          <w:sz w:val="28"/>
          <w:szCs w:val="28"/>
        </w:rPr>
        <w:t xml:space="preserve"> оспариваемые положения порядка исчисления </w:t>
      </w:r>
    </w:p>
    <w:p w:rsidR="00EF5719" w:rsidRP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>средней заработной платы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Конституционный Суд РФ в постановлении от 13.11.2019 N 34-П проверил конституционность абзаца четвертого пункта 9 Положения об особенностях порядка исчисления средней заработной платы.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Согласно данной норме при определении среднего заработка используется средний дневной заработок в следующих случаях: для оплаты отпусков и выплаты компенсации за неиспользованные отпуска; для других случаев, предусмотренных ТК РФ, кроме случая определения среднего </w:t>
      </w:r>
      <w:r w:rsidRPr="00EF5719">
        <w:rPr>
          <w:rFonts w:ascii="Times New Roman" w:hAnsi="Times New Roman"/>
          <w:sz w:val="28"/>
          <w:szCs w:val="28"/>
        </w:rPr>
        <w:lastRenderedPageBreak/>
        <w:t>заработка работников, которым установлен суммированный учет рабочего времени. Названный пункт также устанавливает, что средний заработок работника определяется путем умножения среднего дневного заработка на количество дней (календарных, рабочих) в периоде, подлежащем оплате; средний дневной заработок, кроме случаев определения среднего заработка для оплаты отпусков и выплаты компенсаций за неиспользованные отпуска, исчисляется путем деления суммы заработной платы, фактически начисленной за отработанные дни в расчетном периоде, включая премии и вознаграждения, на количество фактически отработанных в этот период дней.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Нарушение конституционности заявительница усматривала в том, что данное положение позволяет осуществлять расчет выходного пособия уволенному работнику в связи с ликвидацией организации либо сокращением численности с учетом среднедневного заработка за фактически отработанные дни, приходящиеся на месячный период со дня ее увольнения, без учета нерабочих праздничных дней в этом периоде. Заявительница посчитала такой расчет неверным, поскольку выплаченная ей сумма оказалась меньше фактически получаемого среднего месячного заработка.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Суд установил, что оспариваемое положение не вступает в противоречие с Конституцией РФ, поскольку не предполагает возможности определения размера выплачиваемого увольняемому работнику выходного пособия в размере меньшем, чем его средний месячный заработок.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В этой связи правоприменительные решения по делу заявительницы, вынесенные на основании абзаца четвертого пункта 9 Положения в истолковании, расходящемся с его конституционно-правовым смыслом, подлежат пересмотру.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Мотивировав решение, Конституционный Суд РФ обратил внимание на то, что ст. 178 ТК РФ предусматривает,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По своей правовой природе выходное пособие, как и сохранение среднего месячного заработка на период трудоустройства, является гарантийной выплатой, предоставление которой связано с прекращением трудовых отношений по инициативе работодателя, принимающего кадровые решения в рамках определения стратегии экономической деятельности, либо в случае ликвидации организации. Закрепление этой гарантии на законодательном уровне обусловлено стремлением государства смягчить неблагоприятные последствия увольнения в связи с обстоятельствами, препятствующими сохранению трудовых отношений и не зависящими от волеизъявления работника либо его виновного поведения. Ее целевым назначением является обеспечение уволенному работнику на период трудоустройства материальной поддержки, сопоставимой с тем заработком, который он получал в период трудовой деятельности.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lastRenderedPageBreak/>
        <w:t>В отличие от заработной платы, которая зависит от квалификации работника, сложности выполняемой работы, количества и качества затраченного труда и выплачивается состоящему в трудовых отношениях работнику за отработанный период, размер выходного пособия определяется исключительно на основе исчисленного в установленном порядке среднего месячного заработка, не является оплатой какого-либо периода (прошедшего или будущего) и выплачивается работнику при увольнении. Размер данной выплаты зависит от ранее полученных работником в качестве оплаты его труда денежных сумм; она призвана обеспечить уволенному лицу средства к существованию в размере не меньшем, чем средний месячный заработок, исчисленный исходя из его заработной платы за 12 календарных месяцев, предшествовавших увольнению.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Соответственно, размер выходного пособия не может зависеть от каких бы то ни было обстоятельств, имевших место после увольнения работника.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Закрепленные названным Положением правила определения размера среднего заработка по существу направлены на создание технического инструментария, обеспечивающего подсчет заработка в установленных законом случаях, не имеют самостоятельного значения для регулирования трудовых отношений и должны применяться в системной связи с положениями ТК РФ, предусматривающими случаи сохранения за работником среднего заработка и целевое назначение предоставления соответствующей гарантии.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Вместе с тем в правоприменительной практике указанные нормативные положения расцениваются как предписывающие использовать средний дневной заработок для всех случаев исчисления среднего заработка, а для определения размера выходного пособия работникам, уволенным по вышеперечисленным снованиям, принимается во внимание месячный период после даты увольнения работника, исходя из количества рабочих дней в котором и осуществляется расчет.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На основании такого толкования в деле заявительницы размер выходного пособия, который должен составлять средний месячный заработок работника (определяемый из фактически начисленной ему заработной платы и фактически отработанного им времени за 12 календарных месяцев), исчислен с учетом количества рабочих дней, приходящихся на первый месячный период после увольнения, как если бы осуществлялась оплата трудовой деятельности за этот период. Однако и при исчислении заработной платы, являющейся оплатой отработанного периода, действуют специальные правила: 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оклад); работникам, для которых установлена система оплаты труда, не предполагающая установление оклада (должностного оклада), за нерабочие праздничные дни, в которые они не привлекались к работе, выплачивается дополнительное вознаграждение.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Таким образом, независимо от способа подсчета среднего месячного заработка выходное пособие не должно быть меньше заработной платы, </w:t>
      </w:r>
      <w:r w:rsidRPr="00EF5719">
        <w:rPr>
          <w:rFonts w:ascii="Times New Roman" w:hAnsi="Times New Roman"/>
          <w:sz w:val="28"/>
          <w:szCs w:val="28"/>
        </w:rPr>
        <w:lastRenderedPageBreak/>
        <w:t>которую работник получал за месяц в период трудовой деятельности.</w:t>
      </w:r>
    </w:p>
    <w:p w:rsidR="00EF5719" w:rsidRDefault="00EF5719" w:rsidP="00EF571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 xml:space="preserve">До 31.12.2019 можно заключить договоры реструктуризации </w:t>
      </w:r>
    </w:p>
    <w:p w:rsidR="00EF5719" w:rsidRP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>ипотечных кредитов в рамках программы помощи заемщикам, оказавшимся в трудной жизненной ситуации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2 ноября 2019 года вступило в силу постановление Правительства Российской Федерации от 23.10.2019 № 1360 «О внесении изменений в основные условия реализации программы помощи отдельным категориям заемщиков по ипотечным жилищным кредитам (займам), оказавшихся в сложной финансовой ситуации».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Поправками установлен срок - до 31 декабря 2019 года, в течение которого можно заключить договоры реструктуризации ипотечных кредитов в рамках программы помощи заемщикам, оказавшимся в трудной жизненной ситуации.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Условия реализации программы включают в себя: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заемщик (солидарные должники) является гражданином Российской Федерации, относящимся к одной из следующих категорий: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- граждане, имеющие одного или более несовершеннолетних детей или являющиеся опекунами (попечителями) одного или более несовершеннолетних детей;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- граждане, являющиеся инвалидами или имеющие детей-инвалидов;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- граждане, являющиеся ветеранами боевых действий;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- граждане, на иждивении которых находятся лица в возрасте до 24 лет, являющиеся учащимися, студентами (курсантами), аспирантами, адъюнктами, ординаторами, ассистентами-стажерами, интернами и обучающиеся по очной форме обучения.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изменение финансового положения заемщика (солидарных должников) - среднемесячный совокупный доход семьи заемщика (солидарных должников), рассчитанный за 3 месяца, предшествующие дате подачи заявления о реструктуризации, после вычета размера планового ежемесячного платежа по кредиту (займу), рассчитанного на дату, предшествующую дате подачи заявления о реструктуризации, не превышает на каждого члена семьи заемщика (солидарного должника) двукратной величины прожиточного минимума, установленного в субъектах Российской Федерации, на территории которых проживают лица, доходы которых учитывались в расчете.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обеспечением исполнения обязательств заемщика по кредитному договору (договору займа) является ипотека жилого помещения, расположенного на территории Российской Федерации, или залог прав требования на такое жилое помещение, вытекающих из договора участия в долевом строительстве.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· общая площадь жилого помещения, в том числе жилого помещения, право требования на которое вытекает из договора участия в долевом строительстве, ипотека которого является обеспечением исполнения обязательств заемщика по кредитному договору (договору займа), не </w:t>
      </w:r>
      <w:r w:rsidRPr="00EF5719">
        <w:rPr>
          <w:rFonts w:ascii="Times New Roman" w:hAnsi="Times New Roman"/>
          <w:sz w:val="28"/>
          <w:szCs w:val="28"/>
        </w:rPr>
        <w:lastRenderedPageBreak/>
        <w:t>превышает 45 кв. метров - для помещения с 1 жилой комнатой, 65 кв. метров - для помещения с 2 жилыми комнатами, 85 кв. метров - для помещения с 3 или более жилыми комнатами.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жилое помещение, в том числе жилое помещение, право требования на которое вытекает из договора участия в долевом строительстве, ипотека которого является обеспечением исполнения обязательств заемщика по кредитному договору (договору займа), является (будет являться) единственным жильем залогодателя.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кредитный договор (договор займа) заключен не менее чем за 12 месяцев до даты подачи заемщиком заявления о реструктуризации, за исключением случаев, если ипотечный кредит (заем) предоставлен на цели полного погашения задолженности по ипотечному жилищному кредиту (займу), предоставленному не менее чем за 12 месяцев до даты подачи заемщиком заявления о реструктуризации.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Default="00EF5719" w:rsidP="00EF571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 xml:space="preserve">Расширен список </w:t>
      </w:r>
      <w:proofErr w:type="spellStart"/>
      <w:r w:rsidRPr="00EF5719">
        <w:rPr>
          <w:rFonts w:ascii="Times New Roman" w:hAnsi="Times New Roman"/>
          <w:b/>
          <w:sz w:val="28"/>
          <w:szCs w:val="28"/>
        </w:rPr>
        <w:t>госуслуг</w:t>
      </w:r>
      <w:proofErr w:type="spellEnd"/>
      <w:r w:rsidRPr="00EF5719">
        <w:rPr>
          <w:rFonts w:ascii="Times New Roman" w:hAnsi="Times New Roman"/>
          <w:b/>
          <w:sz w:val="28"/>
          <w:szCs w:val="28"/>
        </w:rPr>
        <w:t>, которые компании могут получить независимо от своего места нахождения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С 23 октября 2019 года вступ</w:t>
      </w:r>
      <w:r>
        <w:rPr>
          <w:rFonts w:ascii="Times New Roman" w:hAnsi="Times New Roman"/>
          <w:sz w:val="28"/>
          <w:szCs w:val="28"/>
        </w:rPr>
        <w:t>ило</w:t>
      </w:r>
      <w:r w:rsidRPr="00EF5719">
        <w:rPr>
          <w:rFonts w:ascii="Times New Roman" w:hAnsi="Times New Roman"/>
          <w:sz w:val="28"/>
          <w:szCs w:val="28"/>
        </w:rPr>
        <w:t xml:space="preserve"> в силу распоряжение Правительства РФ от 23.10.2019 № 2497-р, которым внесены изменения в перечень </w:t>
      </w:r>
      <w:proofErr w:type="spellStart"/>
      <w:r w:rsidRPr="00EF571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F5719">
        <w:rPr>
          <w:rFonts w:ascii="Times New Roman" w:hAnsi="Times New Roman"/>
          <w:sz w:val="28"/>
          <w:szCs w:val="28"/>
        </w:rPr>
        <w:t>, предоставляемых по экстерриториальному принципу.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Согласно поправкам подать запросы, документы, представить сведения, а также получить результат в любом подразделении соответствующего госоргана теперь можно в отношении еще большего количества </w:t>
      </w:r>
      <w:proofErr w:type="spellStart"/>
      <w:r w:rsidRPr="00EF5719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F5719">
        <w:rPr>
          <w:rFonts w:ascii="Times New Roman" w:hAnsi="Times New Roman"/>
          <w:sz w:val="28"/>
          <w:szCs w:val="28"/>
        </w:rPr>
        <w:t>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В перечень добавили, в частности: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выдачу свидетельства о допуске ТС к перевозке опасных грузов;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выдачу разрешения на внесение изменений в конструкцию эксплуатируемого колесного ТС;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лицензирование производства маркшейдерских работ;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лицензирование деятельности по перевозкам внутренним водным, а также морским транспортом опасных грузов;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· выдачу разрешений компетентного органа на перевозку опасных грузов.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При этом предусматривается, что государственная услуга предоставляется в МФЦ в случае, если между соответствующим территориальным органом Пенсионного фонда РФ, предоставляющим государственную услугу, и МФЦ заключено соответствующее соглашение.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5719">
        <w:rPr>
          <w:rFonts w:ascii="Times New Roman" w:hAnsi="Times New Roman"/>
          <w:b/>
          <w:sz w:val="28"/>
          <w:szCs w:val="28"/>
        </w:rPr>
        <w:t>Ответственность за продажу алкоголя несовершеннолетним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В соответствии с ч. 2.1. ст. 14.16 КоАП РФ розничная продажа несовершеннолетнему алкогольной продукции, если это действие не содержит уголовно наказуемого деяния, влечет наложение </w:t>
      </w:r>
      <w:r w:rsidRPr="00EF5719">
        <w:rPr>
          <w:rFonts w:ascii="Times New Roman" w:hAnsi="Times New Roman"/>
          <w:sz w:val="28"/>
          <w:szCs w:val="28"/>
        </w:rPr>
        <w:lastRenderedPageBreak/>
        <w:t>административного штрафа на граждан в размере от 30 тысяч до 50 тысяч рублей; на должностных лиц - от 100 тысяч до 200 тысяч рублей; на юридических лиц - от 300 тысяч до 500 тысяч рублей.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Неоднократное совершение данного деяния влечет уголовную ответственность по ст. 151.1 Уголовного кодекса РФ.</w:t>
      </w:r>
    </w:p>
    <w:p w:rsidR="00EF5719" w:rsidRP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>При этом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  <w:r w:rsidRPr="00EF5719">
        <w:rPr>
          <w:rFonts w:ascii="Times New Roman" w:hAnsi="Times New Roman"/>
          <w:sz w:val="28"/>
          <w:szCs w:val="28"/>
        </w:rPr>
        <w:t xml:space="preserve">Совершение данного деяния наказывается штрафом в размере от 50 тысяч до 80 тысяч рублей или в размере заработной платы или </w:t>
      </w:r>
      <w:proofErr w:type="gramStart"/>
      <w:r w:rsidRPr="00EF5719">
        <w:rPr>
          <w:rFonts w:ascii="Times New Roman" w:hAnsi="Times New Roman"/>
          <w:sz w:val="28"/>
          <w:szCs w:val="28"/>
        </w:rPr>
        <w:t>иного дохода</w:t>
      </w:r>
      <w:proofErr w:type="gramEnd"/>
      <w:r w:rsidRPr="00EF5719">
        <w:rPr>
          <w:rFonts w:ascii="Times New Roman" w:hAnsi="Times New Roman"/>
          <w:sz w:val="28"/>
          <w:szCs w:val="28"/>
        </w:rPr>
        <w:t xml:space="preserve"> осужденного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EF5719" w:rsidRDefault="00EF5719" w:rsidP="00341740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41740" w:rsidRPr="00341740" w:rsidRDefault="00341740" w:rsidP="003417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1740">
        <w:rPr>
          <w:rFonts w:ascii="Times New Roman" w:hAnsi="Times New Roman"/>
          <w:b/>
          <w:sz w:val="28"/>
          <w:szCs w:val="28"/>
        </w:rPr>
        <w:t>С 1 января 2020 года вступит в силу закон о любительском рыболовстве</w:t>
      </w:r>
    </w:p>
    <w:p w:rsid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С 1 января 2020 года вступит в силу новый Федеральный закон от 25.12.2018 № 475-ФЗ «О любительском рыболовстве и о внесении изменений в отдельные законодательные акты Российской Федерации».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Любительское рыболовство предполагает под собой процесс добычи (вылова) биологических ресурсов, находящихся в воде с целью удовлетворения личных потребностей, запросов.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Законом установлен перечень водных объектов, на которых допускается и запрещается осуществление любительского рыболовства.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В целях охраны окружающей среды, сохранения водных биоресурсов и среды их обитания установлен ряд ограничений любительского рыболовства.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Законом установлен запрет на осуществление любительского рыболовства с использованием взрывчатых и химических веществ, а также электротока; с применением сетных орудий добычи (вылова) водных биоресурсов; способом подводной добычи водных биоресурсов (подводной охоты) в местах массового отдыха граждан; с использованием индивидуальных электронных средств обнаружения водных биоресурсов под водой; с использованием аквалангов и других автономных дыхательных аппаратов; с применением орудий добычи (вылова), используемых для подводной добычи (вылова) водных биоресурсов, над поверхностью водных объектов.</w:t>
      </w:r>
    </w:p>
    <w:p w:rsid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Граждане, которых интересует любительское рыболовство, приобретают право собственности на улов.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341740" w:rsidRDefault="00341740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341740" w:rsidRPr="00341740" w:rsidRDefault="00341740" w:rsidP="003417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1740">
        <w:rPr>
          <w:rFonts w:ascii="Times New Roman" w:hAnsi="Times New Roman"/>
          <w:b/>
          <w:sz w:val="28"/>
          <w:szCs w:val="28"/>
        </w:rPr>
        <w:t>Подписан закон о сокращении рабочего дня женщинам, работающим в сельской местности</w:t>
      </w:r>
    </w:p>
    <w:p w:rsid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lastRenderedPageBreak/>
        <w:t>Федеральным законом от 12.11.2019 № 372-ФЗ Трудовой кодекс Российской Федерации дополнен новой статьей, которая устанавливает дополнительные гарантии женщинам, работающим в сельской местности.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 xml:space="preserve">Статьей 263.1 Трудового кодекса </w:t>
      </w:r>
      <w:proofErr w:type="gramStart"/>
      <w:r w:rsidRPr="00341740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Pr="00341740">
        <w:rPr>
          <w:rFonts w:ascii="Times New Roman" w:hAnsi="Times New Roman"/>
          <w:sz w:val="28"/>
          <w:szCs w:val="28"/>
        </w:rPr>
        <w:t xml:space="preserve"> указанной категории граждан предусмотрено право на установление сокращённой продолжительности рабочего времени не более 36 часов в неделю (если меньшая продолжительность рабочей недели не предусмотрена федеральными законами, иными нормативными правовыми актами Российской Федерации) с выплатой заработной платы в том же размере, что и при полной рабочей неделе.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 xml:space="preserve">Кроме того, по заявлению указанной категории работников может быть предоставлен один дополнительный выходной день в месяц без сохранения заработной платы. </w:t>
      </w:r>
    </w:p>
    <w:p w:rsidR="00341740" w:rsidRP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Нововведениями также предусмотрено право на установление оплаты труда в повышенном размере на работах, где по условиям труда рабочий день разделён на части.</w:t>
      </w:r>
    </w:p>
    <w:p w:rsidR="00341740" w:rsidRDefault="00341740" w:rsidP="00341740">
      <w:pPr>
        <w:pStyle w:val="a5"/>
        <w:rPr>
          <w:rFonts w:ascii="Times New Roman" w:hAnsi="Times New Roman"/>
          <w:sz w:val="28"/>
          <w:szCs w:val="28"/>
        </w:rPr>
      </w:pPr>
      <w:r w:rsidRPr="00341740">
        <w:rPr>
          <w:rFonts w:ascii="Times New Roman" w:hAnsi="Times New Roman"/>
          <w:sz w:val="28"/>
          <w:szCs w:val="28"/>
        </w:rPr>
        <w:t>Федеральный закон вступает в силу с 23.11.2019.</w:t>
      </w:r>
    </w:p>
    <w:p w:rsidR="00EF5719" w:rsidRDefault="00EF5719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341740" w:rsidRDefault="00341740" w:rsidP="00EF5719">
      <w:pPr>
        <w:pStyle w:val="a5"/>
        <w:rPr>
          <w:rFonts w:ascii="Times New Roman" w:hAnsi="Times New Roman"/>
          <w:sz w:val="28"/>
          <w:szCs w:val="28"/>
        </w:rPr>
      </w:pPr>
    </w:p>
    <w:p w:rsidR="00341740" w:rsidRDefault="00341740" w:rsidP="00EF5719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1740" w:rsidSect="005C46B6">
      <w:endnotePr>
        <w:numFmt w:val="decimal"/>
      </w:endnotePr>
      <w:pgSz w:w="11907" w:h="16840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C025F"/>
    <w:multiLevelType w:val="hybridMultilevel"/>
    <w:tmpl w:val="19DEE382"/>
    <w:lvl w:ilvl="0" w:tplc="044424BE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66FB07F8"/>
    <w:multiLevelType w:val="hybridMultilevel"/>
    <w:tmpl w:val="99C80B92"/>
    <w:lvl w:ilvl="0" w:tplc="46C69FF8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7DA31B4B"/>
    <w:multiLevelType w:val="hybridMultilevel"/>
    <w:tmpl w:val="236C32C8"/>
    <w:lvl w:ilvl="0" w:tplc="2E2C9596">
      <w:start w:val="1"/>
      <w:numFmt w:val="decimal"/>
      <w:lvlText w:val="%1)"/>
      <w:lvlJc w:val="left"/>
      <w:pPr>
        <w:ind w:left="78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CA"/>
    <w:rsid w:val="00024BC3"/>
    <w:rsid w:val="00036B8A"/>
    <w:rsid w:val="0004545F"/>
    <w:rsid w:val="00061319"/>
    <w:rsid w:val="00071BAA"/>
    <w:rsid w:val="00096A6B"/>
    <w:rsid w:val="00097452"/>
    <w:rsid w:val="001143F4"/>
    <w:rsid w:val="00137EA3"/>
    <w:rsid w:val="0014678A"/>
    <w:rsid w:val="00150251"/>
    <w:rsid w:val="00165CFC"/>
    <w:rsid w:val="0017592D"/>
    <w:rsid w:val="0018618A"/>
    <w:rsid w:val="0019765C"/>
    <w:rsid w:val="001E205D"/>
    <w:rsid w:val="001F331F"/>
    <w:rsid w:val="00216F7B"/>
    <w:rsid w:val="00220058"/>
    <w:rsid w:val="002362F6"/>
    <w:rsid w:val="00242643"/>
    <w:rsid w:val="00247159"/>
    <w:rsid w:val="00271762"/>
    <w:rsid w:val="00292EE5"/>
    <w:rsid w:val="00296002"/>
    <w:rsid w:val="002A3E37"/>
    <w:rsid w:val="002B11FD"/>
    <w:rsid w:val="002B4BD9"/>
    <w:rsid w:val="002C2FFB"/>
    <w:rsid w:val="00331674"/>
    <w:rsid w:val="00334F74"/>
    <w:rsid w:val="00335249"/>
    <w:rsid w:val="00341740"/>
    <w:rsid w:val="00372D78"/>
    <w:rsid w:val="003A0C76"/>
    <w:rsid w:val="003A409F"/>
    <w:rsid w:val="00413454"/>
    <w:rsid w:val="00425029"/>
    <w:rsid w:val="004250F8"/>
    <w:rsid w:val="004470DE"/>
    <w:rsid w:val="004B75C8"/>
    <w:rsid w:val="004C025A"/>
    <w:rsid w:val="004C7C9F"/>
    <w:rsid w:val="004D58A2"/>
    <w:rsid w:val="004F14B0"/>
    <w:rsid w:val="004F622E"/>
    <w:rsid w:val="0051334B"/>
    <w:rsid w:val="00517938"/>
    <w:rsid w:val="00520953"/>
    <w:rsid w:val="0054253A"/>
    <w:rsid w:val="00571280"/>
    <w:rsid w:val="005A4608"/>
    <w:rsid w:val="005A4CE8"/>
    <w:rsid w:val="005C46B6"/>
    <w:rsid w:val="005D22BE"/>
    <w:rsid w:val="005D7D49"/>
    <w:rsid w:val="00604C2E"/>
    <w:rsid w:val="0060678F"/>
    <w:rsid w:val="006360DB"/>
    <w:rsid w:val="00645088"/>
    <w:rsid w:val="00652BC8"/>
    <w:rsid w:val="00682A60"/>
    <w:rsid w:val="00695300"/>
    <w:rsid w:val="006A3930"/>
    <w:rsid w:val="006A6219"/>
    <w:rsid w:val="00720812"/>
    <w:rsid w:val="00753AD3"/>
    <w:rsid w:val="007578FD"/>
    <w:rsid w:val="007618BA"/>
    <w:rsid w:val="007740E0"/>
    <w:rsid w:val="00786693"/>
    <w:rsid w:val="0079762C"/>
    <w:rsid w:val="007F54CA"/>
    <w:rsid w:val="008022AB"/>
    <w:rsid w:val="00820F79"/>
    <w:rsid w:val="008324D8"/>
    <w:rsid w:val="00836AD2"/>
    <w:rsid w:val="00840F0A"/>
    <w:rsid w:val="00847721"/>
    <w:rsid w:val="00850F83"/>
    <w:rsid w:val="008857BC"/>
    <w:rsid w:val="008A301A"/>
    <w:rsid w:val="008C2B74"/>
    <w:rsid w:val="008F2F53"/>
    <w:rsid w:val="00902FE6"/>
    <w:rsid w:val="00915BFF"/>
    <w:rsid w:val="0093624D"/>
    <w:rsid w:val="00950B62"/>
    <w:rsid w:val="009517C3"/>
    <w:rsid w:val="00956698"/>
    <w:rsid w:val="00963CF7"/>
    <w:rsid w:val="009735C4"/>
    <w:rsid w:val="00996747"/>
    <w:rsid w:val="009C44B7"/>
    <w:rsid w:val="00A238AC"/>
    <w:rsid w:val="00A27186"/>
    <w:rsid w:val="00A37A4F"/>
    <w:rsid w:val="00A44AD4"/>
    <w:rsid w:val="00A859A3"/>
    <w:rsid w:val="00A91ADA"/>
    <w:rsid w:val="00AC3EAD"/>
    <w:rsid w:val="00AC5C65"/>
    <w:rsid w:val="00AC64CD"/>
    <w:rsid w:val="00AD570A"/>
    <w:rsid w:val="00AE22F9"/>
    <w:rsid w:val="00AE5E80"/>
    <w:rsid w:val="00AE5F34"/>
    <w:rsid w:val="00AF072D"/>
    <w:rsid w:val="00B0659E"/>
    <w:rsid w:val="00B21BE2"/>
    <w:rsid w:val="00B508AE"/>
    <w:rsid w:val="00B563BF"/>
    <w:rsid w:val="00BA2986"/>
    <w:rsid w:val="00BC5399"/>
    <w:rsid w:val="00BC7C67"/>
    <w:rsid w:val="00BD769A"/>
    <w:rsid w:val="00BE2B65"/>
    <w:rsid w:val="00C06CC8"/>
    <w:rsid w:val="00C07CB8"/>
    <w:rsid w:val="00C17FFB"/>
    <w:rsid w:val="00C22076"/>
    <w:rsid w:val="00C2357B"/>
    <w:rsid w:val="00C25302"/>
    <w:rsid w:val="00C30FDE"/>
    <w:rsid w:val="00C33F51"/>
    <w:rsid w:val="00C5454D"/>
    <w:rsid w:val="00C76DFB"/>
    <w:rsid w:val="00C8364B"/>
    <w:rsid w:val="00CB575F"/>
    <w:rsid w:val="00CF2F31"/>
    <w:rsid w:val="00D0108A"/>
    <w:rsid w:val="00D10C81"/>
    <w:rsid w:val="00D27A8C"/>
    <w:rsid w:val="00D640E6"/>
    <w:rsid w:val="00D73322"/>
    <w:rsid w:val="00D8521B"/>
    <w:rsid w:val="00D8567E"/>
    <w:rsid w:val="00D93CEB"/>
    <w:rsid w:val="00D960C9"/>
    <w:rsid w:val="00DA5101"/>
    <w:rsid w:val="00DA7485"/>
    <w:rsid w:val="00DB10D8"/>
    <w:rsid w:val="00DB31E9"/>
    <w:rsid w:val="00DD2309"/>
    <w:rsid w:val="00DD746B"/>
    <w:rsid w:val="00DD791B"/>
    <w:rsid w:val="00DE2FD1"/>
    <w:rsid w:val="00E21779"/>
    <w:rsid w:val="00E24FB1"/>
    <w:rsid w:val="00E2734B"/>
    <w:rsid w:val="00E723DC"/>
    <w:rsid w:val="00EA669F"/>
    <w:rsid w:val="00EC5636"/>
    <w:rsid w:val="00EE2DCC"/>
    <w:rsid w:val="00EE53A6"/>
    <w:rsid w:val="00EF5719"/>
    <w:rsid w:val="00F1428E"/>
    <w:rsid w:val="00F24E76"/>
    <w:rsid w:val="00F25E14"/>
    <w:rsid w:val="00F459C0"/>
    <w:rsid w:val="00F55888"/>
    <w:rsid w:val="00F562DC"/>
    <w:rsid w:val="00F572CA"/>
    <w:rsid w:val="00FA15E2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57FFB-FDEC-4DC8-989D-EB6917C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F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17FFB"/>
    <w:pPr>
      <w:keepNext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D9"/>
    <w:pPr>
      <w:keepNext/>
      <w:keepLines/>
      <w:widowControl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17FFB"/>
    <w:pPr>
      <w:keepNext/>
      <w:jc w:val="right"/>
      <w:outlineLvl w:val="2"/>
    </w:pPr>
    <w:rPr>
      <w:b/>
      <w:i/>
    </w:rPr>
  </w:style>
  <w:style w:type="paragraph" w:styleId="8">
    <w:name w:val="heading 8"/>
    <w:basedOn w:val="a"/>
    <w:next w:val="a"/>
    <w:qFormat/>
    <w:rsid w:val="00C17FFB"/>
    <w:pPr>
      <w:keepNext/>
      <w:jc w:val="center"/>
      <w:outlineLvl w:val="7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FF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C17FFB"/>
    <w:pPr>
      <w:jc w:val="center"/>
    </w:pPr>
    <w:rPr>
      <w:rFonts w:ascii="Arial" w:hAnsi="Arial"/>
      <w:b/>
      <w:sz w:val="22"/>
    </w:rPr>
  </w:style>
  <w:style w:type="paragraph" w:styleId="21">
    <w:name w:val="Body Text Indent 2"/>
    <w:basedOn w:val="a"/>
    <w:rsid w:val="00C17FFB"/>
    <w:pPr>
      <w:ind w:left="567" w:firstLine="567"/>
      <w:jc w:val="both"/>
    </w:pPr>
  </w:style>
  <w:style w:type="paragraph" w:styleId="a4">
    <w:name w:val="Body Text"/>
    <w:basedOn w:val="a"/>
    <w:rsid w:val="00C17FFB"/>
    <w:pPr>
      <w:jc w:val="both"/>
    </w:pPr>
  </w:style>
  <w:style w:type="paragraph" w:styleId="a5">
    <w:name w:val="Body Text Indent"/>
    <w:basedOn w:val="a"/>
    <w:link w:val="a6"/>
    <w:rsid w:val="00C17FFB"/>
    <w:pPr>
      <w:ind w:firstLine="708"/>
      <w:jc w:val="both"/>
    </w:pPr>
    <w:rPr>
      <w:rFonts w:ascii="Courier New" w:hAnsi="Courier New"/>
      <w:sz w:val="20"/>
    </w:rPr>
  </w:style>
  <w:style w:type="paragraph" w:styleId="22">
    <w:name w:val="Body Text 2"/>
    <w:basedOn w:val="a"/>
    <w:rsid w:val="00C17FFB"/>
    <w:pPr>
      <w:ind w:right="-1333"/>
    </w:pPr>
    <w:rPr>
      <w:sz w:val="28"/>
    </w:rPr>
  </w:style>
  <w:style w:type="paragraph" w:styleId="31">
    <w:name w:val="Body Text Indent 3"/>
    <w:basedOn w:val="a"/>
    <w:rsid w:val="00C17FFB"/>
    <w:pPr>
      <w:ind w:firstLine="708"/>
      <w:jc w:val="both"/>
    </w:pPr>
  </w:style>
  <w:style w:type="paragraph" w:customStyle="1" w:styleId="10">
    <w:name w:val="Обычный1"/>
    <w:rsid w:val="00BE2B65"/>
  </w:style>
  <w:style w:type="paragraph" w:customStyle="1" w:styleId="a7">
    <w:name w:val="Знак"/>
    <w:basedOn w:val="a"/>
    <w:rsid w:val="008324D8"/>
    <w:pPr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8">
    <w:name w:val="Title"/>
    <w:basedOn w:val="a"/>
    <w:link w:val="a9"/>
    <w:qFormat/>
    <w:rsid w:val="008324D8"/>
    <w:pPr>
      <w:widowControl/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9">
    <w:name w:val="Название Знак"/>
    <w:basedOn w:val="a0"/>
    <w:link w:val="a8"/>
    <w:rsid w:val="008324D8"/>
    <w:rPr>
      <w:sz w:val="28"/>
      <w:lang w:val="ru-RU" w:eastAsia="ru-RU" w:bidi="ar-SA"/>
    </w:rPr>
  </w:style>
  <w:style w:type="paragraph" w:styleId="aa">
    <w:name w:val="Balloon Text"/>
    <w:basedOn w:val="a"/>
    <w:semiHidden/>
    <w:rsid w:val="008324D8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DD746B"/>
    <w:pPr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table" w:styleId="ac">
    <w:name w:val="Table Grid"/>
    <w:basedOn w:val="a1"/>
    <w:rsid w:val="005C4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0B62"/>
    <w:pPr>
      <w:ind w:left="720"/>
      <w:contextualSpacing/>
    </w:pPr>
  </w:style>
  <w:style w:type="character" w:customStyle="1" w:styleId="apple-converted-space">
    <w:name w:val="apple-converted-space"/>
    <w:basedOn w:val="a0"/>
    <w:rsid w:val="004F14B0"/>
  </w:style>
  <w:style w:type="paragraph" w:customStyle="1" w:styleId="style3">
    <w:name w:val="style3"/>
    <w:basedOn w:val="a"/>
    <w:rsid w:val="00334F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fontstyle14">
    <w:name w:val="fontstyle14"/>
    <w:basedOn w:val="a0"/>
    <w:rsid w:val="00334F74"/>
  </w:style>
  <w:style w:type="character" w:customStyle="1" w:styleId="fontstyle13">
    <w:name w:val="fontstyle13"/>
    <w:basedOn w:val="a0"/>
    <w:rsid w:val="00334F74"/>
  </w:style>
  <w:style w:type="paragraph" w:customStyle="1" w:styleId="style4">
    <w:name w:val="style4"/>
    <w:basedOn w:val="a"/>
    <w:rsid w:val="00334F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e">
    <w:name w:val="Hyperlink"/>
    <w:basedOn w:val="a0"/>
    <w:uiPriority w:val="99"/>
    <w:unhideWhenUsed/>
    <w:rsid w:val="00334F74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34F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4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2B4BD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5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8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1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Файзиев</dc:creator>
  <cp:lastModifiedBy>OrlovPG</cp:lastModifiedBy>
  <cp:revision>5</cp:revision>
  <cp:lastPrinted>2017-01-17T04:35:00Z</cp:lastPrinted>
  <dcterms:created xsi:type="dcterms:W3CDTF">2019-11-19T06:47:00Z</dcterms:created>
  <dcterms:modified xsi:type="dcterms:W3CDTF">2019-11-20T06:59:00Z</dcterms:modified>
</cp:coreProperties>
</file>